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9974" w14:textId="6DEF3439" w:rsidR="00097D37" w:rsidRDefault="00097D37" w:rsidP="00097D37">
      <w:pPr>
        <w:jc w:val="center"/>
        <w:rPr>
          <w:rFonts w:cstheme="minorHAnsi"/>
          <w:b/>
          <w:color w:val="18365D"/>
          <w:sz w:val="32"/>
          <w:szCs w:val="40"/>
        </w:rPr>
      </w:pPr>
      <w:r w:rsidRPr="00DA0F56">
        <w:rPr>
          <w:rFonts w:cstheme="minorHAnsi"/>
          <w:b/>
          <w:color w:val="18365D"/>
          <w:sz w:val="32"/>
          <w:szCs w:val="40"/>
        </w:rPr>
        <w:t>NOWS Discharge Checklist</w:t>
      </w:r>
    </w:p>
    <w:p w14:paraId="004917FD" w14:textId="44E18DE7" w:rsidR="00097D37" w:rsidRPr="006113F8" w:rsidRDefault="00DA0F56" w:rsidP="00DA0F56">
      <w:pPr>
        <w:jc w:val="center"/>
        <w:rPr>
          <w:rFonts w:eastAsia="Times New Roman" w:cstheme="minorHAnsi"/>
          <w:color w:val="18365D"/>
          <w:szCs w:val="28"/>
        </w:rPr>
      </w:pPr>
      <w:r w:rsidRPr="006113F8">
        <w:rPr>
          <w:rFonts w:eastAsia="Times New Roman" w:cstheme="minorHAnsi"/>
          <w:color w:val="18365D"/>
          <w:szCs w:val="28"/>
        </w:rPr>
        <w:t>This NOWS</w:t>
      </w:r>
      <w:r w:rsidR="00CD5E91">
        <w:rPr>
          <w:rFonts w:eastAsia="Times New Roman" w:cstheme="minorHAnsi"/>
          <w:color w:val="18365D"/>
          <w:szCs w:val="28"/>
        </w:rPr>
        <w:t xml:space="preserve"> </w:t>
      </w:r>
      <w:r w:rsidRPr="006113F8">
        <w:rPr>
          <w:rFonts w:eastAsia="Times New Roman" w:cstheme="minorHAnsi"/>
          <w:color w:val="18365D"/>
          <w:szCs w:val="28"/>
        </w:rPr>
        <w:t xml:space="preserve">Neonatal Discharge Checklist needs to be completed for every Opioid-Exposed Newborn (OEN) before infant </w:t>
      </w:r>
      <w:r w:rsidR="00141EAC" w:rsidRPr="006113F8">
        <w:rPr>
          <w:rFonts w:eastAsia="Times New Roman" w:cstheme="minorHAnsi"/>
          <w:color w:val="18365D"/>
          <w:szCs w:val="28"/>
        </w:rPr>
        <w:t>discharge.</w:t>
      </w:r>
    </w:p>
    <w:p w14:paraId="06F5F54A" w14:textId="4A94D05C" w:rsidR="008A1377" w:rsidRDefault="00DE299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AEF7A" wp14:editId="635B8B7E">
                <wp:simplePos x="0" y="0"/>
                <wp:positionH relativeFrom="column">
                  <wp:posOffset>3154680</wp:posOffset>
                </wp:positionH>
                <wp:positionV relativeFrom="paragraph">
                  <wp:posOffset>912495</wp:posOffset>
                </wp:positionV>
                <wp:extent cx="3426460" cy="34055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340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4D4E3" w14:textId="0836251D" w:rsidR="00E67805" w:rsidRPr="00D07CD4" w:rsidRDefault="00E67805" w:rsidP="00E678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Education provided regarding:</w:t>
                            </w:r>
                          </w:p>
                          <w:p w14:paraId="655FC7F1" w14:textId="77777777" w:rsidR="00D07CD4" w:rsidRPr="00D07CD4" w:rsidRDefault="00E67805" w:rsidP="00E6780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 xml:space="preserve">Understanding components of </w:t>
                            </w:r>
                          </w:p>
                          <w:p w14:paraId="34F7D724" w14:textId="008E1246" w:rsidR="00E67805" w:rsidRPr="00D07CD4" w:rsidRDefault="00E67805" w:rsidP="00D07CD4">
                            <w:pPr>
                              <w:pStyle w:val="ListParagraph"/>
                              <w:ind w:left="1440"/>
                              <w:rPr>
                                <w:b/>
                                <w:bCs/>
                                <w:color w:val="18365D"/>
                              </w:rPr>
                            </w:pPr>
                            <w:r w:rsidRPr="00D07CD4">
                              <w:rPr>
                                <w:b/>
                                <w:bCs/>
                                <w:color w:val="18365D"/>
                              </w:rPr>
                              <w:t>NOWS Collaborative Discharge Plan</w:t>
                            </w:r>
                          </w:p>
                          <w:p w14:paraId="23054F48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Importance and benefits of breastfeeding, unless contraindicated</w:t>
                            </w:r>
                          </w:p>
                          <w:p w14:paraId="1DBF3069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Increased risk of visual problems including strabismus</w:t>
                            </w:r>
                          </w:p>
                          <w:p w14:paraId="4AB0E8E9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 xml:space="preserve">Developmental follow-up, physical and occupational therapy </w:t>
                            </w:r>
                          </w:p>
                          <w:p w14:paraId="7FE41865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Safe sleep practice</w:t>
                            </w:r>
                          </w:p>
                          <w:p w14:paraId="6C88CE27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Non-accidental trauma</w:t>
                            </w:r>
                          </w:p>
                          <w:p w14:paraId="5759AAEC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CPR</w:t>
                            </w:r>
                          </w:p>
                          <w:p w14:paraId="25FF0A36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Narcan counseling offered.</w:t>
                            </w:r>
                          </w:p>
                          <w:p w14:paraId="4437715D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Linkage to addiction services and MOUD/MAT made, as applicable.</w:t>
                            </w:r>
                          </w:p>
                          <w:p w14:paraId="1E04DC05" w14:textId="4C33F8DD" w:rsidR="00E67805" w:rsidRPr="00D07CD4" w:rsidRDefault="00E67805" w:rsidP="00E678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Patient received “Neonatal Opioid Withdrawal Syndrome: What you need to know</w:t>
                            </w:r>
                            <w:r w:rsidR="00660D45">
                              <w:rPr>
                                <w:color w:val="18365D"/>
                              </w:rPr>
                              <w:t xml:space="preserve"> </w:t>
                            </w:r>
                            <w:r w:rsidRPr="00D07CD4">
                              <w:rPr>
                                <w:color w:val="18365D"/>
                              </w:rPr>
                              <w:t xml:space="preserve">- A Guide for </w:t>
                            </w:r>
                            <w:proofErr w:type="gramStart"/>
                            <w:r w:rsidRPr="00D07CD4">
                              <w:rPr>
                                <w:color w:val="18365D"/>
                              </w:rPr>
                              <w:t>Families</w:t>
                            </w:r>
                            <w:proofErr w:type="gramEnd"/>
                            <w:r w:rsidRPr="00D07CD4">
                              <w:rPr>
                                <w:color w:val="18365D"/>
                              </w:rPr>
                              <w:t xml:space="preserve">” </w:t>
                            </w:r>
                          </w:p>
                          <w:p w14:paraId="450C11BE" w14:textId="3B79807C" w:rsidR="00E67805" w:rsidRDefault="00E67805" w:rsidP="00E6780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AEF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8.4pt;margin-top:71.85pt;width:269.8pt;height:26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" filled="f" stroked="f" strokeweight=".5pt">
                <v:textbox>
                  <w:txbxContent>
                    <w:p w14:paraId="39D4D4E3" w14:textId="0836251D" w:rsidR="00E67805" w:rsidRPr="00D07CD4" w:rsidRDefault="00E67805" w:rsidP="00E678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Education provided regarding:</w:t>
                      </w:r>
                    </w:p>
                    <w:p w14:paraId="655FC7F1" w14:textId="77777777" w:rsidR="00D07CD4" w:rsidRPr="00D07CD4" w:rsidRDefault="00E67805" w:rsidP="00E6780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 xml:space="preserve">Understanding components of </w:t>
                      </w:r>
                    </w:p>
                    <w:p w14:paraId="34F7D724" w14:textId="008E1246" w:rsidR="00E67805" w:rsidRPr="00D07CD4" w:rsidRDefault="00E67805" w:rsidP="00D07CD4">
                      <w:pPr>
                        <w:pStyle w:val="ListParagraph"/>
                        <w:ind w:left="1440"/>
                        <w:rPr>
                          <w:b/>
                          <w:bCs/>
                          <w:color w:val="18365D"/>
                        </w:rPr>
                      </w:pPr>
                      <w:r w:rsidRPr="00D07CD4">
                        <w:rPr>
                          <w:b/>
                          <w:bCs/>
                          <w:color w:val="18365D"/>
                        </w:rPr>
                        <w:t>NOWS Collaborative Discharge Plan</w:t>
                      </w:r>
                    </w:p>
                    <w:p w14:paraId="23054F48" w14:textId="77777777" w:rsidR="00E67805" w:rsidRPr="00D07CD4" w:rsidRDefault="00E67805" w:rsidP="00E6780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Importance and benefits of breastfeeding, unless contraindicated</w:t>
                      </w:r>
                    </w:p>
                    <w:p w14:paraId="1DBF3069" w14:textId="77777777" w:rsidR="00E67805" w:rsidRPr="00D07CD4" w:rsidRDefault="00E67805" w:rsidP="00E6780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Increased risk of visual problems including strabismus</w:t>
                      </w:r>
                    </w:p>
                    <w:p w14:paraId="4AB0E8E9" w14:textId="77777777" w:rsidR="00E67805" w:rsidRPr="00D07CD4" w:rsidRDefault="00E67805" w:rsidP="00E6780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 xml:space="preserve">Developmental follow-up, physical and occupational therapy </w:t>
                      </w:r>
                    </w:p>
                    <w:p w14:paraId="7FE41865" w14:textId="77777777" w:rsidR="00E67805" w:rsidRPr="00D07CD4" w:rsidRDefault="00E67805" w:rsidP="00E6780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Safe sleep practice</w:t>
                      </w:r>
                    </w:p>
                    <w:p w14:paraId="6C88CE27" w14:textId="77777777" w:rsidR="00E67805" w:rsidRPr="00D07CD4" w:rsidRDefault="00E67805" w:rsidP="00E6780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Non-accidental trauma</w:t>
                      </w:r>
                    </w:p>
                    <w:p w14:paraId="5759AAEC" w14:textId="77777777" w:rsidR="00E67805" w:rsidRPr="00D07CD4" w:rsidRDefault="00E67805" w:rsidP="00E6780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CPR</w:t>
                      </w:r>
                    </w:p>
                    <w:p w14:paraId="25FF0A36" w14:textId="77777777" w:rsidR="00E67805" w:rsidRPr="00D07CD4" w:rsidRDefault="00E67805" w:rsidP="00E678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Narcan counseling offered.</w:t>
                      </w:r>
                    </w:p>
                    <w:p w14:paraId="4437715D" w14:textId="77777777" w:rsidR="00E67805" w:rsidRPr="00D07CD4" w:rsidRDefault="00E67805" w:rsidP="00E678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Linkage to addiction services and MOUD/MAT made, as applicable.</w:t>
                      </w:r>
                    </w:p>
                    <w:p w14:paraId="1E04DC05" w14:textId="4C33F8DD" w:rsidR="00E67805" w:rsidRPr="00D07CD4" w:rsidRDefault="00E67805" w:rsidP="00E678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Patient received “Neonatal Opioid Withdrawal Syndrome: What you need to know</w:t>
                      </w:r>
                      <w:r w:rsidR="00660D45">
                        <w:rPr>
                          <w:color w:val="18365D"/>
                        </w:rPr>
                        <w:t xml:space="preserve"> </w:t>
                      </w:r>
                      <w:r w:rsidRPr="00D07CD4">
                        <w:rPr>
                          <w:color w:val="18365D"/>
                        </w:rPr>
                        <w:t xml:space="preserve">- A Guide for </w:t>
                      </w:r>
                      <w:proofErr w:type="gramStart"/>
                      <w:r w:rsidRPr="00D07CD4">
                        <w:rPr>
                          <w:color w:val="18365D"/>
                        </w:rPr>
                        <w:t>Families</w:t>
                      </w:r>
                      <w:proofErr w:type="gramEnd"/>
                      <w:r w:rsidRPr="00D07CD4">
                        <w:rPr>
                          <w:color w:val="18365D"/>
                        </w:rPr>
                        <w:t xml:space="preserve">” </w:t>
                      </w:r>
                    </w:p>
                    <w:p w14:paraId="450C11BE" w14:textId="3B79807C" w:rsidR="00E67805" w:rsidRDefault="00E67805" w:rsidP="00E67805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744C3" wp14:editId="7D157EE0">
                <wp:simplePos x="0" y="0"/>
                <wp:positionH relativeFrom="column">
                  <wp:posOffset>-847090</wp:posOffset>
                </wp:positionH>
                <wp:positionV relativeFrom="paragraph">
                  <wp:posOffset>863600</wp:posOffset>
                </wp:positionV>
                <wp:extent cx="3796665" cy="4108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410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9F568" w14:textId="77777777" w:rsidR="00D07CD4" w:rsidRPr="00D07CD4" w:rsidRDefault="00E67805" w:rsidP="00D07C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 xml:space="preserve">4-7 days of inpatient monitoring for infants exposed to </w:t>
                            </w:r>
                            <w:r w:rsidRPr="00D07CD4">
                              <w:rPr>
                                <w:color w:val="18365D"/>
                                <w:u w:val="single"/>
                              </w:rPr>
                              <w:t>buprenorphine</w:t>
                            </w:r>
                            <w:r w:rsidRPr="00D07CD4">
                              <w:rPr>
                                <w:color w:val="18365D"/>
                              </w:rPr>
                              <w:t xml:space="preserve"> and </w:t>
                            </w:r>
                            <w:r w:rsidRPr="00D07CD4">
                              <w:rPr>
                                <w:color w:val="18365D"/>
                                <w:u w:val="single"/>
                              </w:rPr>
                              <w:t>sustained-release opioids</w:t>
                            </w:r>
                            <w:r w:rsidRPr="00D07CD4">
                              <w:rPr>
                                <w:color w:val="18365D"/>
                              </w:rPr>
                              <w:t xml:space="preserve"> </w:t>
                            </w:r>
                          </w:p>
                          <w:p w14:paraId="72E7B61E" w14:textId="0CAFAA6E" w:rsidR="00E67805" w:rsidRPr="00D07CD4" w:rsidRDefault="00E67805" w:rsidP="00D07CD4">
                            <w:pPr>
                              <w:pStyle w:val="ListParagraph"/>
                              <w:rPr>
                                <w:b/>
                                <w:bCs/>
                                <w:color w:val="18365D"/>
                              </w:rPr>
                            </w:pPr>
                            <w:r w:rsidRPr="00D07CD4">
                              <w:rPr>
                                <w:b/>
                                <w:bCs/>
                                <w:color w:val="18365D"/>
                              </w:rPr>
                              <w:t xml:space="preserve">who do not require </w:t>
                            </w:r>
                            <w:proofErr w:type="gramStart"/>
                            <w:r w:rsidRPr="00D07CD4">
                              <w:rPr>
                                <w:b/>
                                <w:bCs/>
                                <w:color w:val="18365D"/>
                              </w:rPr>
                              <w:t>pharmacotherapy</w:t>
                            </w:r>
                            <w:proofErr w:type="gramEnd"/>
                          </w:p>
                          <w:p w14:paraId="3E429E4D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 xml:space="preserve">5-7 days of inpatient monitoring for infants exposed to </w:t>
                            </w:r>
                            <w:r w:rsidRPr="00D07CD4">
                              <w:rPr>
                                <w:color w:val="18365D"/>
                                <w:u w:val="single"/>
                              </w:rPr>
                              <w:t>methadone</w:t>
                            </w:r>
                            <w:r w:rsidRPr="00D07CD4">
                              <w:rPr>
                                <w:color w:val="18365D"/>
                              </w:rPr>
                              <w:t xml:space="preserve"> </w:t>
                            </w:r>
                            <w:r w:rsidRPr="00D07CD4">
                              <w:rPr>
                                <w:b/>
                                <w:bCs/>
                                <w:color w:val="18365D"/>
                              </w:rPr>
                              <w:t xml:space="preserve">who do not require pharmacotherapy </w:t>
                            </w:r>
                          </w:p>
                          <w:p w14:paraId="1CBFBE20" w14:textId="385466CF" w:rsidR="00E67805" w:rsidRPr="00D07CD4" w:rsidRDefault="00E67805" w:rsidP="00D07C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 xml:space="preserve">72 hours of inpatient monitoring after pharmacotherapy for infants who </w:t>
                            </w:r>
                            <w:r w:rsidRPr="00D07CD4">
                              <w:rPr>
                                <w:b/>
                                <w:bCs/>
                                <w:color w:val="18365D"/>
                              </w:rPr>
                              <w:t>require pharmacotherapy</w:t>
                            </w:r>
                          </w:p>
                          <w:p w14:paraId="02ED966A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The infant should feed well and gain weight over two consecutive days</w:t>
                            </w:r>
                          </w:p>
                          <w:p w14:paraId="252DFE3D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Consultation with social work or hospital equivalent completed</w:t>
                            </w:r>
                          </w:p>
                          <w:p w14:paraId="1FBA0C63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Medication dispending schedule and demonstration of ability to dose the infant, as applicable</w:t>
                            </w:r>
                          </w:p>
                          <w:p w14:paraId="6705CB82" w14:textId="77777777" w:rsidR="00E67805" w:rsidRPr="00D07CD4" w:rsidRDefault="00E67805" w:rsidP="00E67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Scheduled a developmental follow-up appointment and/or physical and occupational therapy appointments as applicable</w:t>
                            </w:r>
                          </w:p>
                          <w:p w14:paraId="204BDC51" w14:textId="392FB48F" w:rsidR="00E67805" w:rsidRPr="00D07CD4" w:rsidRDefault="00E67805" w:rsidP="00E67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Hepatitis B/</w:t>
                            </w:r>
                            <w:r w:rsidR="00CF6110">
                              <w:rPr>
                                <w:color w:val="18365D"/>
                              </w:rPr>
                              <w:t xml:space="preserve"> </w:t>
                            </w:r>
                            <w:r w:rsidRPr="00D07CD4">
                              <w:rPr>
                                <w:color w:val="18365D"/>
                              </w:rPr>
                              <w:t>Hepatitis C/</w:t>
                            </w:r>
                            <w:r w:rsidR="00CF6110">
                              <w:rPr>
                                <w:color w:val="18365D"/>
                              </w:rPr>
                              <w:t xml:space="preserve"> </w:t>
                            </w:r>
                            <w:r w:rsidRPr="00D07CD4">
                              <w:rPr>
                                <w:color w:val="18365D"/>
                              </w:rPr>
                              <w:t>HIV exposed infants – Pediatric infectious disease appointment scheduled or if preference is to follow infant in primary care</w:t>
                            </w:r>
                            <w:r w:rsidR="00D35462">
                              <w:rPr>
                                <w:color w:val="18365D"/>
                              </w:rPr>
                              <w:t>,</w:t>
                            </w:r>
                            <w:r w:rsidRPr="00D07CD4">
                              <w:rPr>
                                <w:color w:val="18365D"/>
                              </w:rPr>
                              <w:t xml:space="preserve"> please refer to 2018 American Academy of Pediatrics Red Book for current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44C3" id="Text Box 8" o:spid="_x0000_s1027" type="#_x0000_t202" style="position:absolute;margin-left:-66.7pt;margin-top:68pt;width:298.95pt;height:3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" filled="f" stroked="f" strokeweight=".5pt">
                <v:textbox>
                  <w:txbxContent>
                    <w:p w14:paraId="4A29F568" w14:textId="77777777" w:rsidR="00D07CD4" w:rsidRPr="00D07CD4" w:rsidRDefault="00E67805" w:rsidP="00D07C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 xml:space="preserve">4-7 days of inpatient monitoring for infants exposed to </w:t>
                      </w:r>
                      <w:r w:rsidRPr="00D07CD4">
                        <w:rPr>
                          <w:color w:val="18365D"/>
                          <w:u w:val="single"/>
                        </w:rPr>
                        <w:t>buprenorphine</w:t>
                      </w:r>
                      <w:r w:rsidRPr="00D07CD4">
                        <w:rPr>
                          <w:color w:val="18365D"/>
                        </w:rPr>
                        <w:t xml:space="preserve"> and </w:t>
                      </w:r>
                      <w:r w:rsidRPr="00D07CD4">
                        <w:rPr>
                          <w:color w:val="18365D"/>
                          <w:u w:val="single"/>
                        </w:rPr>
                        <w:t>sustained-release opioids</w:t>
                      </w:r>
                      <w:r w:rsidRPr="00D07CD4">
                        <w:rPr>
                          <w:color w:val="18365D"/>
                        </w:rPr>
                        <w:t xml:space="preserve"> </w:t>
                      </w:r>
                    </w:p>
                    <w:p w14:paraId="72E7B61E" w14:textId="0CAFAA6E" w:rsidR="00E67805" w:rsidRPr="00D07CD4" w:rsidRDefault="00E67805" w:rsidP="00D07CD4">
                      <w:pPr>
                        <w:pStyle w:val="ListParagraph"/>
                        <w:rPr>
                          <w:b/>
                          <w:bCs/>
                          <w:color w:val="18365D"/>
                        </w:rPr>
                      </w:pPr>
                      <w:r w:rsidRPr="00D07CD4">
                        <w:rPr>
                          <w:b/>
                          <w:bCs/>
                          <w:color w:val="18365D"/>
                        </w:rPr>
                        <w:t xml:space="preserve">who do not require </w:t>
                      </w:r>
                      <w:proofErr w:type="gramStart"/>
                      <w:r w:rsidRPr="00D07CD4">
                        <w:rPr>
                          <w:b/>
                          <w:bCs/>
                          <w:color w:val="18365D"/>
                        </w:rPr>
                        <w:t>pharmacotherapy</w:t>
                      </w:r>
                      <w:proofErr w:type="gramEnd"/>
                    </w:p>
                    <w:p w14:paraId="3E429E4D" w14:textId="77777777" w:rsidR="00E67805" w:rsidRPr="00D07CD4" w:rsidRDefault="00E67805" w:rsidP="00E67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 xml:space="preserve">5-7 days of inpatient monitoring for infants exposed to </w:t>
                      </w:r>
                      <w:r w:rsidRPr="00D07CD4">
                        <w:rPr>
                          <w:color w:val="18365D"/>
                          <w:u w:val="single"/>
                        </w:rPr>
                        <w:t>methadone</w:t>
                      </w:r>
                      <w:r w:rsidRPr="00D07CD4">
                        <w:rPr>
                          <w:color w:val="18365D"/>
                        </w:rPr>
                        <w:t xml:space="preserve"> </w:t>
                      </w:r>
                      <w:r w:rsidRPr="00D07CD4">
                        <w:rPr>
                          <w:b/>
                          <w:bCs/>
                          <w:color w:val="18365D"/>
                        </w:rPr>
                        <w:t xml:space="preserve">who do not require pharmacotherapy </w:t>
                      </w:r>
                    </w:p>
                    <w:p w14:paraId="1CBFBE20" w14:textId="385466CF" w:rsidR="00E67805" w:rsidRPr="00D07CD4" w:rsidRDefault="00E67805" w:rsidP="00D07C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 xml:space="preserve">72 hours of inpatient monitoring after pharmacotherapy for infants who </w:t>
                      </w:r>
                      <w:r w:rsidRPr="00D07CD4">
                        <w:rPr>
                          <w:b/>
                          <w:bCs/>
                          <w:color w:val="18365D"/>
                        </w:rPr>
                        <w:t>require pharmacotherapy</w:t>
                      </w:r>
                    </w:p>
                    <w:p w14:paraId="02ED966A" w14:textId="77777777" w:rsidR="00E67805" w:rsidRPr="00D07CD4" w:rsidRDefault="00E67805" w:rsidP="00E67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The infant should feed well and gain weight over two consecutive days</w:t>
                      </w:r>
                    </w:p>
                    <w:p w14:paraId="252DFE3D" w14:textId="77777777" w:rsidR="00E67805" w:rsidRPr="00D07CD4" w:rsidRDefault="00E67805" w:rsidP="00E67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Consultation with social work or hospital equivalent completed</w:t>
                      </w:r>
                    </w:p>
                    <w:p w14:paraId="1FBA0C63" w14:textId="77777777" w:rsidR="00E67805" w:rsidRPr="00D07CD4" w:rsidRDefault="00E67805" w:rsidP="00E67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Medication dispending schedule and demonstration of ability to dose the infant, as applicable</w:t>
                      </w:r>
                    </w:p>
                    <w:p w14:paraId="6705CB82" w14:textId="77777777" w:rsidR="00E67805" w:rsidRPr="00D07CD4" w:rsidRDefault="00E67805" w:rsidP="00E67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Scheduled a developmental follow-up appointment and/or physical and occupational therapy appointments as applicable</w:t>
                      </w:r>
                    </w:p>
                    <w:p w14:paraId="204BDC51" w14:textId="392FB48F" w:rsidR="00E67805" w:rsidRPr="00D07CD4" w:rsidRDefault="00E67805" w:rsidP="00E67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Hepatitis B/</w:t>
                      </w:r>
                      <w:r w:rsidR="00CF6110">
                        <w:rPr>
                          <w:color w:val="18365D"/>
                        </w:rPr>
                        <w:t xml:space="preserve"> </w:t>
                      </w:r>
                      <w:r w:rsidRPr="00D07CD4">
                        <w:rPr>
                          <w:color w:val="18365D"/>
                        </w:rPr>
                        <w:t>Hepatitis C/</w:t>
                      </w:r>
                      <w:r w:rsidR="00CF6110">
                        <w:rPr>
                          <w:color w:val="18365D"/>
                        </w:rPr>
                        <w:t xml:space="preserve"> </w:t>
                      </w:r>
                      <w:r w:rsidRPr="00D07CD4">
                        <w:rPr>
                          <w:color w:val="18365D"/>
                        </w:rPr>
                        <w:t>HIV exposed infants – Pediatric infectious disease appointment scheduled or if preference is to follow infant in primary care</w:t>
                      </w:r>
                      <w:r w:rsidR="00D35462">
                        <w:rPr>
                          <w:color w:val="18365D"/>
                        </w:rPr>
                        <w:t>,</w:t>
                      </w:r>
                      <w:r w:rsidRPr="00D07CD4">
                        <w:rPr>
                          <w:color w:val="18365D"/>
                        </w:rPr>
                        <w:t xml:space="preserve"> please refer to 2018 American Academy of Pediatrics Red Book for current recommendations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797FD41" wp14:editId="6DD0FE8D">
                <wp:simplePos x="0" y="0"/>
                <wp:positionH relativeFrom="column">
                  <wp:posOffset>-706755</wp:posOffset>
                </wp:positionH>
                <wp:positionV relativeFrom="paragraph">
                  <wp:posOffset>798195</wp:posOffset>
                </wp:positionV>
                <wp:extent cx="3714750" cy="4335780"/>
                <wp:effectExtent l="0" t="0" r="1905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33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3BE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1E32E" id="Rectangle 27" o:spid="_x0000_s1026" style="position:absolute;margin-left:-55.65pt;margin-top:62.85pt;width:292.5pt;height:341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" fillcolor="white [3212]" strokecolor="#83be4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0E261" wp14:editId="6CF6E268">
                <wp:simplePos x="0" y="0"/>
                <wp:positionH relativeFrom="column">
                  <wp:posOffset>3237230</wp:posOffset>
                </wp:positionH>
                <wp:positionV relativeFrom="paragraph">
                  <wp:posOffset>140335</wp:posOffset>
                </wp:positionV>
                <wp:extent cx="3423920" cy="656590"/>
                <wp:effectExtent l="0" t="0" r="2413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920" cy="656590"/>
                        </a:xfrm>
                        <a:prstGeom prst="rect">
                          <a:avLst/>
                        </a:prstGeom>
                        <a:solidFill>
                          <a:srgbClr val="18365D"/>
                        </a:solidFill>
                        <a:ln w="19050">
                          <a:solidFill>
                            <a:srgbClr val="83BE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229C4" w14:textId="2303F68F" w:rsidR="00E67805" w:rsidRPr="00097D37" w:rsidRDefault="00DA0F56" w:rsidP="00E678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II. </w:t>
                            </w:r>
                            <w:r w:rsidR="00E67805" w:rsidRPr="00E67805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Family Preparedness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0E261" id="Rectangle 9" o:spid="_x0000_s1028" style="position:absolute;margin-left:254.9pt;margin-top:11.05pt;width:269.6pt;height: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" fillcolor="#18365d" strokecolor="#83be40" strokeweight="1.5pt">
                <v:textbox>
                  <w:txbxContent>
                    <w:p w14:paraId="41B229C4" w14:textId="2303F68F" w:rsidR="00E67805" w:rsidRPr="00097D37" w:rsidRDefault="00DA0F56" w:rsidP="00E678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II. </w:t>
                      </w:r>
                      <w:r w:rsidR="00E67805" w:rsidRPr="00E67805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Family Preparedness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A8AD6" wp14:editId="39075718">
                <wp:simplePos x="0" y="0"/>
                <wp:positionH relativeFrom="column">
                  <wp:posOffset>-708660</wp:posOffset>
                </wp:positionH>
                <wp:positionV relativeFrom="paragraph">
                  <wp:posOffset>143240</wp:posOffset>
                </wp:positionV>
                <wp:extent cx="3714750" cy="656590"/>
                <wp:effectExtent l="0" t="0" r="1905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56590"/>
                        </a:xfrm>
                        <a:prstGeom prst="rect">
                          <a:avLst/>
                        </a:prstGeom>
                        <a:solidFill>
                          <a:srgbClr val="18365D"/>
                        </a:solidFill>
                        <a:ln w="19050">
                          <a:solidFill>
                            <a:srgbClr val="83BE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86073" w14:textId="50A0B2BE" w:rsidR="00097D37" w:rsidRPr="00097D37" w:rsidRDefault="00DA0F56" w:rsidP="00097D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I. </w:t>
                            </w:r>
                            <w:r w:rsidR="00097D37" w:rsidRPr="00097D37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Clinical Readiness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A8AD6" id="Rectangle 23" o:spid="_x0000_s1029" style="position:absolute;margin-left:-55.8pt;margin-top:11.3pt;width:292.5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" fillcolor="#18365d" strokecolor="#83be40" strokeweight="1.5pt">
                <v:textbox>
                  <w:txbxContent>
                    <w:p w14:paraId="2A286073" w14:textId="50A0B2BE" w:rsidR="00097D37" w:rsidRPr="00097D37" w:rsidRDefault="00DA0F56" w:rsidP="00097D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I. </w:t>
                      </w:r>
                      <w:r w:rsidR="00097D37" w:rsidRPr="00097D37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Clinical Readiness</w:t>
                      </w:r>
                    </w:p>
                  </w:txbxContent>
                </v:textbox>
              </v:rect>
            </w:pict>
          </mc:Fallback>
        </mc:AlternateContent>
      </w:r>
    </w:p>
    <w:p w14:paraId="2D52FD7C" w14:textId="2FE2D869" w:rsidR="00097D37" w:rsidRPr="00097D37" w:rsidRDefault="00097D37" w:rsidP="00097D37"/>
    <w:p w14:paraId="3E8069E5" w14:textId="5148A7B6" w:rsidR="00097D37" w:rsidRPr="00097D37" w:rsidRDefault="00097D37" w:rsidP="00097D37"/>
    <w:p w14:paraId="32C1D664" w14:textId="6B5C7C6E" w:rsidR="00097D37" w:rsidRPr="00097D37" w:rsidRDefault="00097D37" w:rsidP="00097D37"/>
    <w:p w14:paraId="7C94C136" w14:textId="4A0A4252" w:rsidR="00097D37" w:rsidRDefault="00005147" w:rsidP="00097D3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B64073" wp14:editId="72FB3F4B">
                <wp:simplePos x="0" y="0"/>
                <wp:positionH relativeFrom="column">
                  <wp:posOffset>3239580</wp:posOffset>
                </wp:positionH>
                <wp:positionV relativeFrom="paragraph">
                  <wp:posOffset>50800</wp:posOffset>
                </wp:positionV>
                <wp:extent cx="3417570" cy="4326255"/>
                <wp:effectExtent l="0" t="0" r="1143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570" cy="432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3BE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3E5F" id="Rectangle 26" o:spid="_x0000_s1026" style="position:absolute;margin-left:255.1pt;margin-top:4pt;width:269.1pt;height:340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" fillcolor="white [3212]" strokecolor="#83be40" strokeweight="1.5pt"/>
            </w:pict>
          </mc:Fallback>
        </mc:AlternateContent>
      </w:r>
    </w:p>
    <w:p w14:paraId="48FCB0DC" w14:textId="4B7FB37C" w:rsidR="00157661" w:rsidRPr="00157661" w:rsidRDefault="00DE2995" w:rsidP="00097D3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833B2" wp14:editId="78A1DFAD">
                <wp:simplePos x="0" y="0"/>
                <wp:positionH relativeFrom="column">
                  <wp:posOffset>-478790</wp:posOffset>
                </wp:positionH>
                <wp:positionV relativeFrom="paragraph">
                  <wp:posOffset>5137150</wp:posOffset>
                </wp:positionV>
                <wp:extent cx="6902450" cy="24936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2493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BF99B" w14:textId="37A2B34D" w:rsidR="00DA0F56" w:rsidRPr="00D07CD4" w:rsidRDefault="00DA0F56" w:rsidP="00DA0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 xml:space="preserve">Completion of </w:t>
                            </w:r>
                            <w:r w:rsidRPr="00D07CD4">
                              <w:rPr>
                                <w:b/>
                                <w:bCs/>
                                <w:color w:val="18365D"/>
                              </w:rPr>
                              <w:t>NOWS Collaborative Discharge Plan</w:t>
                            </w:r>
                            <w:r w:rsidRPr="00D07CD4">
                              <w:rPr>
                                <w:color w:val="18365D"/>
                              </w:rPr>
                              <w:t xml:space="preserve"> in partnership with care team, family, and community pediatrician. </w:t>
                            </w:r>
                          </w:p>
                          <w:p w14:paraId="6773B401" w14:textId="1239EE0B" w:rsidR="00DA0F56" w:rsidRPr="00D07CD4" w:rsidRDefault="00DA0F56" w:rsidP="00DA0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Communication and coordination with primary care provider completed:</w:t>
                            </w:r>
                          </w:p>
                          <w:p w14:paraId="5CCD7E93" w14:textId="4853E8E3" w:rsidR="00DA0F56" w:rsidRPr="00D07CD4" w:rsidRDefault="00DA0F56" w:rsidP="00DA0F5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Discussion of medical and social information, including infant custody</w:t>
                            </w:r>
                          </w:p>
                          <w:p w14:paraId="527DC30A" w14:textId="1076A319" w:rsidR="00DA0F56" w:rsidRPr="00D07CD4" w:rsidRDefault="00DA0F56" w:rsidP="00DA0F5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Description of hospital course</w:t>
                            </w:r>
                          </w:p>
                          <w:p w14:paraId="3DB03737" w14:textId="3A8AD254" w:rsidR="00DA0F56" w:rsidRPr="00D07CD4" w:rsidRDefault="00DA0F56" w:rsidP="00DA0F5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Plan for outpatient medication wean, if applicable</w:t>
                            </w:r>
                          </w:p>
                          <w:p w14:paraId="2C4317FE" w14:textId="2BF4BDFA" w:rsidR="00DA0F56" w:rsidRPr="00D07CD4" w:rsidRDefault="00DA0F56" w:rsidP="00DA0F5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Heightened need for vision screening for refractive errors/strabismus</w:t>
                            </w:r>
                          </w:p>
                          <w:p w14:paraId="778C55C5" w14:textId="2C285922" w:rsidR="00DA0F56" w:rsidRPr="00D07CD4" w:rsidRDefault="00DA0F56" w:rsidP="00DA0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8365D"/>
                              </w:rPr>
                            </w:pPr>
                            <w:r w:rsidRPr="00D07CD4">
                              <w:rPr>
                                <w:color w:val="18365D"/>
                              </w:rPr>
                              <w:t>Coordination and clearance with local Department of Human Resources (DHR) office completed, as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33B2" id="Text Box 11" o:spid="_x0000_s1030" type="#_x0000_t202" style="position:absolute;margin-left:-37.7pt;margin-top:404.5pt;width:543.5pt;height:19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" filled="f" stroked="f" strokeweight=".5pt">
                <v:textbox>
                  <w:txbxContent>
                    <w:p w14:paraId="750BF99B" w14:textId="37A2B34D" w:rsidR="00DA0F56" w:rsidRPr="00D07CD4" w:rsidRDefault="00DA0F56" w:rsidP="00DA0F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 xml:space="preserve">Completion of </w:t>
                      </w:r>
                      <w:r w:rsidRPr="00D07CD4">
                        <w:rPr>
                          <w:b/>
                          <w:bCs/>
                          <w:color w:val="18365D"/>
                        </w:rPr>
                        <w:t>NOWS Collaborative Discharge Plan</w:t>
                      </w:r>
                      <w:r w:rsidRPr="00D07CD4">
                        <w:rPr>
                          <w:color w:val="18365D"/>
                        </w:rPr>
                        <w:t xml:space="preserve"> in partnership with care team, family, and community pediatrician. </w:t>
                      </w:r>
                    </w:p>
                    <w:p w14:paraId="6773B401" w14:textId="1239EE0B" w:rsidR="00DA0F56" w:rsidRPr="00D07CD4" w:rsidRDefault="00DA0F56" w:rsidP="00DA0F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Communication and coordination with primary care provider completed:</w:t>
                      </w:r>
                    </w:p>
                    <w:p w14:paraId="5CCD7E93" w14:textId="4853E8E3" w:rsidR="00DA0F56" w:rsidRPr="00D07CD4" w:rsidRDefault="00DA0F56" w:rsidP="00DA0F5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Discussion of medical and social information, including infant custody</w:t>
                      </w:r>
                    </w:p>
                    <w:p w14:paraId="527DC30A" w14:textId="1076A319" w:rsidR="00DA0F56" w:rsidRPr="00D07CD4" w:rsidRDefault="00DA0F56" w:rsidP="00DA0F5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Description of hospital course</w:t>
                      </w:r>
                    </w:p>
                    <w:p w14:paraId="3DB03737" w14:textId="3A8AD254" w:rsidR="00DA0F56" w:rsidRPr="00D07CD4" w:rsidRDefault="00DA0F56" w:rsidP="00DA0F5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Plan for outpatient medication wean, if applicable</w:t>
                      </w:r>
                    </w:p>
                    <w:p w14:paraId="2C4317FE" w14:textId="2BF4BDFA" w:rsidR="00DA0F56" w:rsidRPr="00D07CD4" w:rsidRDefault="00DA0F56" w:rsidP="00DA0F5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Heightened need for vision screening for refractive errors/strabismus</w:t>
                      </w:r>
                    </w:p>
                    <w:p w14:paraId="778C55C5" w14:textId="2C285922" w:rsidR="00DA0F56" w:rsidRPr="00D07CD4" w:rsidRDefault="00DA0F56" w:rsidP="00DA0F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8365D"/>
                        </w:rPr>
                      </w:pPr>
                      <w:r w:rsidRPr="00D07CD4">
                        <w:rPr>
                          <w:color w:val="18365D"/>
                        </w:rPr>
                        <w:t>Coordination and clearance with local Department of Human Resources (DHR) office completed, as applicable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9C61B9C" wp14:editId="1F989402">
                <wp:simplePos x="0" y="0"/>
                <wp:positionH relativeFrom="column">
                  <wp:posOffset>-687705</wp:posOffset>
                </wp:positionH>
                <wp:positionV relativeFrom="paragraph">
                  <wp:posOffset>4993640</wp:posOffset>
                </wp:positionV>
                <wp:extent cx="7371080" cy="1877695"/>
                <wp:effectExtent l="0" t="0" r="20320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1080" cy="187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3BE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87518" id="Rectangle 28" o:spid="_x0000_s1026" style="position:absolute;margin-left:-54.15pt;margin-top:393.2pt;width:580.4pt;height:147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" fillcolor="white [3212]" strokecolor="#83be4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6F556" wp14:editId="565896A8">
                <wp:simplePos x="0" y="0"/>
                <wp:positionH relativeFrom="column">
                  <wp:posOffset>-701040</wp:posOffset>
                </wp:positionH>
                <wp:positionV relativeFrom="paragraph">
                  <wp:posOffset>4380181</wp:posOffset>
                </wp:positionV>
                <wp:extent cx="7389495" cy="614680"/>
                <wp:effectExtent l="0" t="0" r="2095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9495" cy="614680"/>
                        </a:xfrm>
                        <a:prstGeom prst="rect">
                          <a:avLst/>
                        </a:prstGeom>
                        <a:solidFill>
                          <a:srgbClr val="18365D"/>
                        </a:solidFill>
                        <a:ln w="19050">
                          <a:solidFill>
                            <a:srgbClr val="83BE40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CCB21" w14:textId="07E77782" w:rsidR="00DA0F56" w:rsidRPr="00097D37" w:rsidRDefault="00DA0F56" w:rsidP="00DA0F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III. </w:t>
                            </w:r>
                            <w:r w:rsidRPr="00DA0F56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Transfer 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6F556" id="Rectangle 12" o:spid="_x0000_s1031" style="position:absolute;margin-left:-55.2pt;margin-top:344.9pt;width:581.85pt;height:4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" fillcolor="#18365d" strokecolor="#83be40" strokeweight="1.5pt">
                <v:textbox>
                  <w:txbxContent>
                    <w:p w14:paraId="5B3CCB21" w14:textId="07E77782" w:rsidR="00DA0F56" w:rsidRPr="00097D37" w:rsidRDefault="00DA0F56" w:rsidP="00DA0F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III. </w:t>
                      </w:r>
                      <w:r w:rsidRPr="00DA0F56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Transfer of Care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157661" w:rsidRPr="00157661" w:rsidSect="00DE2995">
      <w:headerReference w:type="default" r:id="rId7"/>
      <w:footerReference w:type="default" r:id="rId8"/>
      <w:pgSz w:w="12240" w:h="15840"/>
      <w:pgMar w:top="1440" w:right="1440" w:bottom="1440" w:left="1440" w:header="37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4CCBB" w14:textId="77777777" w:rsidR="001705F3" w:rsidRDefault="001705F3" w:rsidP="00097D37">
      <w:r>
        <w:separator/>
      </w:r>
    </w:p>
  </w:endnote>
  <w:endnote w:type="continuationSeparator" w:id="0">
    <w:p w14:paraId="4DBA5241" w14:textId="77777777" w:rsidR="001705F3" w:rsidRDefault="001705F3" w:rsidP="0009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552DA" w14:textId="26A8F7AB" w:rsidR="00DE2995" w:rsidRPr="00DE2995" w:rsidRDefault="00BA33F0" w:rsidP="00DE2995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  <w:sz w:val="16"/>
        <w:szCs w:val="16"/>
      </w:rPr>
    </w:pPr>
    <w:r w:rsidRPr="00DE2995">
      <w:rPr>
        <w:rFonts w:ascii="Calibri" w:eastAsia="Calibri" w:hAnsi="Calibri" w:cs="Times New Roman"/>
        <w:sz w:val="16"/>
        <w:szCs w:val="16"/>
      </w:rPr>
      <w:t>ALPQC NOWS Initiative</w:t>
    </w:r>
    <w:r>
      <w:rPr>
        <w:rFonts w:ascii="Calibri" w:eastAsia="Calibri" w:hAnsi="Calibri" w:cs="Times New Roman"/>
        <w:sz w:val="16"/>
        <w:szCs w:val="16"/>
      </w:rPr>
      <w:t xml:space="preserve"> – Discharge Checklist |</w:t>
    </w:r>
    <w:r w:rsidRPr="00DE2995">
      <w:rPr>
        <w:rFonts w:ascii="Calibri" w:eastAsia="Calibri" w:hAnsi="Calibri" w:cs="Times New Roman"/>
        <w:sz w:val="16"/>
        <w:szCs w:val="16"/>
      </w:rPr>
      <w:t xml:space="preserve"> </w:t>
    </w:r>
    <w:r w:rsidR="00DE2995" w:rsidRPr="00DE2995">
      <w:rPr>
        <w:rFonts w:ascii="Calibri" w:eastAsia="Calibri" w:hAnsi="Calibri" w:cs="Times New Roman"/>
        <w:sz w:val="16"/>
        <w:szCs w:val="16"/>
      </w:rPr>
      <w:t xml:space="preserve">Version </w:t>
    </w:r>
    <w:r>
      <w:rPr>
        <w:rFonts w:ascii="Calibri" w:eastAsia="Calibri" w:hAnsi="Calibri" w:cs="Times New Roman"/>
        <w:sz w:val="16"/>
        <w:szCs w:val="16"/>
      </w:rPr>
      <w:t>4</w:t>
    </w:r>
    <w:r w:rsidR="00DE2995" w:rsidRPr="00DE2995">
      <w:rPr>
        <w:rFonts w:ascii="Calibri" w:eastAsia="Calibri" w:hAnsi="Calibri" w:cs="Times New Roman"/>
        <w:sz w:val="16"/>
        <w:szCs w:val="16"/>
      </w:rPr>
      <w:t xml:space="preserve"> | </w:t>
    </w:r>
    <w:r w:rsidR="00DE2995">
      <w:rPr>
        <w:rFonts w:ascii="Calibri" w:eastAsia="Calibri" w:hAnsi="Calibri" w:cs="Times New Roman"/>
        <w:sz w:val="16"/>
        <w:szCs w:val="16"/>
      </w:rPr>
      <w:t>02-15</w:t>
    </w:r>
    <w:r w:rsidR="00DE2995" w:rsidRPr="00DE2995">
      <w:rPr>
        <w:rFonts w:ascii="Calibri" w:eastAsia="Calibri" w:hAnsi="Calibri" w:cs="Times New Roman"/>
        <w:sz w:val="16"/>
        <w:szCs w:val="16"/>
      </w:rPr>
      <w:t xml:space="preserve">-2021  </w:t>
    </w:r>
  </w:p>
  <w:p w14:paraId="2EF832B6" w14:textId="4565945C" w:rsidR="00DE2995" w:rsidRPr="00DE2995" w:rsidRDefault="00DE2995" w:rsidP="00DE2995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  <w:sz w:val="16"/>
        <w:szCs w:val="16"/>
      </w:rPr>
    </w:pPr>
    <w:r w:rsidRPr="00DE2995">
      <w:rPr>
        <w:rFonts w:ascii="Calibri" w:eastAsia="Calibri" w:hAnsi="Calibri" w:cs="Times New Roman"/>
        <w:sz w:val="16"/>
        <w:szCs w:val="16"/>
      </w:rPr>
      <w:t>This document is inspired by and</w:t>
    </w:r>
    <w:r w:rsidR="00BA33F0">
      <w:rPr>
        <w:rFonts w:ascii="Calibri" w:eastAsia="Calibri" w:hAnsi="Calibri" w:cs="Times New Roman"/>
        <w:sz w:val="16"/>
        <w:szCs w:val="16"/>
      </w:rPr>
      <w:t xml:space="preserve"> gratefully</w:t>
    </w:r>
    <w:r w:rsidRPr="00DE2995">
      <w:rPr>
        <w:rFonts w:ascii="Calibri" w:eastAsia="Calibri" w:hAnsi="Calibri" w:cs="Times New Roman"/>
        <w:sz w:val="16"/>
        <w:szCs w:val="16"/>
      </w:rPr>
      <w:t xml:space="preserve"> adapted from ILPQC Mothers and Newborns affected by Opioids (MNO) Neonatal Initiative</w:t>
    </w:r>
  </w:p>
  <w:p w14:paraId="7850ACF4" w14:textId="77777777" w:rsidR="00DE2995" w:rsidRDefault="00DE2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8D365" w14:textId="77777777" w:rsidR="001705F3" w:rsidRDefault="001705F3" w:rsidP="00097D37">
      <w:r>
        <w:separator/>
      </w:r>
    </w:p>
  </w:footnote>
  <w:footnote w:type="continuationSeparator" w:id="0">
    <w:p w14:paraId="04986415" w14:textId="77777777" w:rsidR="001705F3" w:rsidRDefault="001705F3" w:rsidP="0009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A91A" w14:textId="3D32A6BF" w:rsidR="00097D37" w:rsidRDefault="00097D37">
    <w:pPr>
      <w:pStyle w:val="Header"/>
    </w:pPr>
    <w:r>
      <w:rPr>
        <w:noProof/>
      </w:rPr>
      <w:drawing>
        <wp:inline distT="0" distB="0" distL="0" distR="0" wp14:anchorId="5B33D097" wp14:editId="7026E0E0">
          <wp:extent cx="843148" cy="737184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700" cy="74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C6C"/>
    <w:multiLevelType w:val="hybridMultilevel"/>
    <w:tmpl w:val="19A429A2"/>
    <w:lvl w:ilvl="0" w:tplc="8E68C4B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18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22E"/>
    <w:multiLevelType w:val="hybridMultilevel"/>
    <w:tmpl w:val="C07E28A4"/>
    <w:lvl w:ilvl="0" w:tplc="72D6D6B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0489D"/>
    <w:multiLevelType w:val="hybridMultilevel"/>
    <w:tmpl w:val="C4E2B3B0"/>
    <w:lvl w:ilvl="0" w:tplc="F7FAFD6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18365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5F10"/>
    <w:multiLevelType w:val="hybridMultilevel"/>
    <w:tmpl w:val="21A4F100"/>
    <w:lvl w:ilvl="0" w:tplc="179AE8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18365D"/>
      </w:rPr>
    </w:lvl>
    <w:lvl w:ilvl="1" w:tplc="10A8485A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  <w:color w:val="83BE4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3D6F"/>
    <w:multiLevelType w:val="hybridMultilevel"/>
    <w:tmpl w:val="0D3C1B7A"/>
    <w:lvl w:ilvl="0" w:tplc="B77C99A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4738"/>
    <w:multiLevelType w:val="hybridMultilevel"/>
    <w:tmpl w:val="8B68A152"/>
    <w:lvl w:ilvl="0" w:tplc="F7FAFD6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18365D"/>
      </w:rPr>
    </w:lvl>
    <w:lvl w:ilvl="1" w:tplc="63181492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  <w:color w:val="83BE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37"/>
    <w:rsid w:val="00005147"/>
    <w:rsid w:val="00081A8C"/>
    <w:rsid w:val="00097D37"/>
    <w:rsid w:val="000D159C"/>
    <w:rsid w:val="00141EAC"/>
    <w:rsid w:val="00157661"/>
    <w:rsid w:val="001705F3"/>
    <w:rsid w:val="001D18A2"/>
    <w:rsid w:val="00241BD0"/>
    <w:rsid w:val="006113F8"/>
    <w:rsid w:val="00616F1E"/>
    <w:rsid w:val="00660D45"/>
    <w:rsid w:val="008C28E9"/>
    <w:rsid w:val="009A54DB"/>
    <w:rsid w:val="00A03B6A"/>
    <w:rsid w:val="00B51780"/>
    <w:rsid w:val="00BA33F0"/>
    <w:rsid w:val="00BE7AC9"/>
    <w:rsid w:val="00CD5E91"/>
    <w:rsid w:val="00CF6110"/>
    <w:rsid w:val="00D07CD4"/>
    <w:rsid w:val="00D35462"/>
    <w:rsid w:val="00DA0F56"/>
    <w:rsid w:val="00DE2995"/>
    <w:rsid w:val="00E67805"/>
    <w:rsid w:val="00E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EE3EC"/>
  <w15:chartTrackingRefBased/>
  <w15:docId w15:val="{E01F53F7-127F-A146-A447-DD36707B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37"/>
  </w:style>
  <w:style w:type="paragraph" w:styleId="Footer">
    <w:name w:val="footer"/>
    <w:basedOn w:val="Normal"/>
    <w:link w:val="FooterChar"/>
    <w:uiPriority w:val="99"/>
    <w:unhideWhenUsed/>
    <w:rsid w:val="00097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37"/>
  </w:style>
  <w:style w:type="paragraph" w:styleId="ListParagraph">
    <w:name w:val="List Paragraph"/>
    <w:basedOn w:val="Normal"/>
    <w:uiPriority w:val="34"/>
    <w:qFormat/>
    <w:rsid w:val="00097D37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Boogaerts, Garner L</dc:creator>
  <cp:keywords/>
  <dc:description/>
  <cp:lastModifiedBy>Coronado-Guillaumet, Evelyn</cp:lastModifiedBy>
  <cp:revision>14</cp:revision>
  <cp:lastPrinted>2021-02-13T06:25:00Z</cp:lastPrinted>
  <dcterms:created xsi:type="dcterms:W3CDTF">2021-02-15T17:11:00Z</dcterms:created>
  <dcterms:modified xsi:type="dcterms:W3CDTF">2021-02-15T17:46:00Z</dcterms:modified>
</cp:coreProperties>
</file>